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3015"/>
        <w:gridCol w:w="3757"/>
        <w:gridCol w:w="2868"/>
      </w:tblGrid>
      <w:tr w:rsidR="000A5EB4">
        <w:trPr>
          <w:trHeight w:val="1438"/>
          <w:jc w:val="center"/>
        </w:trPr>
        <w:tc>
          <w:tcPr>
            <w:tcW w:w="3015" w:type="dxa"/>
          </w:tcPr>
          <w:p w:rsidR="000A5EB4" w:rsidRDefault="000A5EB4">
            <w:pPr>
              <w:widowControl w:val="0"/>
              <w:ind w:right="-358" w:firstLine="708"/>
              <w:rPr>
                <w:sz w:val="27"/>
                <w:szCs w:val="27"/>
              </w:rPr>
            </w:pPr>
          </w:p>
        </w:tc>
        <w:tc>
          <w:tcPr>
            <w:tcW w:w="3757" w:type="dxa"/>
            <w:vAlign w:val="center"/>
          </w:tcPr>
          <w:p w:rsidR="000A5EB4" w:rsidRDefault="001E7E90">
            <w:pPr>
              <w:widowControl w:val="0"/>
              <w:tabs>
                <w:tab w:val="left" w:pos="1900"/>
              </w:tabs>
              <w:ind w:left="772" w:right="-3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10540" cy="885190"/>
                  <wp:effectExtent l="0" t="0" r="0" b="0"/>
                  <wp:docPr id="1" name="Рисунок 2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0A5EB4" w:rsidRDefault="000A5EB4">
            <w:pPr>
              <w:widowControl w:val="0"/>
            </w:pPr>
          </w:p>
        </w:tc>
      </w:tr>
      <w:tr w:rsidR="000A5EB4">
        <w:trPr>
          <w:trHeight w:val="1369"/>
          <w:jc w:val="center"/>
        </w:trPr>
        <w:tc>
          <w:tcPr>
            <w:tcW w:w="9640" w:type="dxa"/>
            <w:gridSpan w:val="3"/>
          </w:tcPr>
          <w:p w:rsidR="000A5EB4" w:rsidRDefault="001E7E90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 xml:space="preserve">НАЧАЛЬНИК ФИНАНСОВОГО ОТДЕЛ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 xml:space="preserve"> ЗАТО СВОБОДНЫЙ</w:t>
            </w:r>
          </w:p>
          <w:p w:rsidR="000A5EB4" w:rsidRDefault="000A5EB4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  <w:p w:rsidR="000A5EB4" w:rsidRDefault="001E7E90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РАСПОРЯЖЕНИЕ</w:t>
            </w:r>
          </w:p>
          <w:p w:rsidR="000A5EB4" w:rsidRDefault="001E7E90">
            <w:pPr>
              <w:widowControl w:val="0"/>
              <w:ind w:right="-358"/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_______________________________________________________________________</w:t>
            </w:r>
          </w:p>
          <w:p w:rsidR="000A5EB4" w:rsidRDefault="000A5EB4">
            <w:pPr>
              <w:widowControl w:val="0"/>
              <w:ind w:right="-358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</w:tr>
    </w:tbl>
    <w:p w:rsidR="000A5EB4" w:rsidRDefault="001E7E9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37EB4">
        <w:rPr>
          <w:rFonts w:ascii="Liberation Serif" w:hAnsi="Liberation Serif" w:cs="Liberation Serif"/>
          <w:sz w:val="28"/>
          <w:szCs w:val="28"/>
          <w:u w:val="single"/>
        </w:rPr>
        <w:t>26</w:t>
      </w:r>
      <w:r>
        <w:rPr>
          <w:rFonts w:ascii="Liberation Serif" w:hAnsi="Liberation Serif" w:cs="Liberation Serif"/>
          <w:sz w:val="28"/>
          <w:szCs w:val="28"/>
        </w:rPr>
        <w:t xml:space="preserve">» декабря 2022 года </w:t>
      </w:r>
      <w:r>
        <w:rPr>
          <w:rFonts w:ascii="Liberation Serif" w:hAnsi="Liberation Serif" w:cs="Liberation Serif"/>
          <w:sz w:val="28"/>
          <w:szCs w:val="28"/>
          <w:lang w:val="en-US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37EB4">
        <w:rPr>
          <w:rFonts w:ascii="Liberation Serif" w:hAnsi="Liberation Serif" w:cs="Liberation Serif"/>
          <w:sz w:val="28"/>
          <w:szCs w:val="28"/>
          <w:u w:val="single"/>
        </w:rPr>
        <w:t>70</w:t>
      </w:r>
    </w:p>
    <w:p w:rsidR="000A5EB4" w:rsidRDefault="001E7E90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0A5EB4" w:rsidRDefault="000A5EB4">
      <w:pPr>
        <w:rPr>
          <w:rFonts w:ascii="Liberation Serif" w:hAnsi="Liberation Serif" w:cs="Liberation Serif"/>
          <w:sz w:val="28"/>
          <w:szCs w:val="28"/>
        </w:rPr>
      </w:pPr>
    </w:p>
    <w:p w:rsidR="000A5EB4" w:rsidRDefault="000A5EB4">
      <w:pPr>
        <w:rPr>
          <w:sz w:val="28"/>
          <w:szCs w:val="28"/>
        </w:rPr>
      </w:pPr>
    </w:p>
    <w:p w:rsidR="000A5EB4" w:rsidRDefault="001E7E90">
      <w:pPr>
        <w:tabs>
          <w:tab w:val="left" w:pos="7890"/>
        </w:tabs>
        <w:ind w:right="-1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Об утверждении Порядка 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санкционирования расходов участников казначейского сопровождения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</w:t>
      </w:r>
    </w:p>
    <w:p w:rsidR="000A5EB4" w:rsidRDefault="000A5EB4">
      <w:pPr>
        <w:jc w:val="center"/>
        <w:rPr>
          <w:sz w:val="28"/>
          <w:szCs w:val="28"/>
        </w:rPr>
      </w:pPr>
    </w:p>
    <w:p w:rsidR="000A5EB4" w:rsidRDefault="000A5EB4">
      <w:pPr>
        <w:jc w:val="center"/>
        <w:rPr>
          <w:sz w:val="28"/>
          <w:szCs w:val="28"/>
        </w:rPr>
      </w:pPr>
    </w:p>
    <w:p w:rsidR="000A5EB4" w:rsidRDefault="001E7E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242.23 Бюджетного кодекса Российской Федерации,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</w:t>
      </w:r>
      <w:r>
        <w:rPr>
          <w:rFonts w:ascii="Liberation Serif" w:hAnsi="Liberation Serif" w:cs="Liberation Serif"/>
          <w:sz w:val="28"/>
          <w:szCs w:val="28"/>
        </w:rPr>
        <w:t xml:space="preserve">ТО Свободный от 28 марта 2022 года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 xml:space="preserve"> 137 "Об утверждении порядка осуществления финансовым отделом администрации городского округа ЗАТО Свободный казначейского сопровождения средств, предоставляемых участникам казначейского сопровождения, определенных в соо</w:t>
      </w:r>
      <w:r>
        <w:rPr>
          <w:rFonts w:ascii="Liberation Serif" w:hAnsi="Liberation Serif" w:cs="Liberation Serif"/>
          <w:sz w:val="28"/>
          <w:szCs w:val="28"/>
        </w:rPr>
        <w:t>тветствии со статьей 242.26 Бюджетного кодекса Российской Федерации, из бюджета городского округа ЗАТО Свободный"</w:t>
      </w:r>
    </w:p>
    <w:p w:rsidR="000A5EB4" w:rsidRDefault="001E7E9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ПРИКАЗЫВАЮ: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5EB4" w:rsidRDefault="001E7E90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Утвердить </w:t>
      </w: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санкционирования расходов участников казначейского сопровождения финансовым отделом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 (прилагается)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A5EB4" w:rsidRDefault="001E7E90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распоряжение вступает в силу с 1 </w:t>
      </w:r>
      <w:r>
        <w:rPr>
          <w:rFonts w:ascii="Liberation Serif" w:hAnsi="Liberation Serif" w:cs="Liberation Serif"/>
          <w:sz w:val="28"/>
          <w:szCs w:val="28"/>
        </w:rPr>
        <w:t>января 2023 года.</w:t>
      </w:r>
    </w:p>
    <w:p w:rsidR="000A5EB4" w:rsidRDefault="001E7E90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распоряжения оставляю за собой.</w:t>
      </w:r>
    </w:p>
    <w:p w:rsidR="000A5EB4" w:rsidRDefault="001E7E90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распоряжение на официальном сайте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0A5EB4" w:rsidRDefault="000A5EB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5EB4" w:rsidRDefault="000A5EB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5EB4" w:rsidRDefault="001E7E90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финансового отдела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М.Н. Малых</w:t>
      </w:r>
    </w:p>
    <w:p w:rsidR="000A5EB4" w:rsidRDefault="000A5EB4">
      <w:pPr>
        <w:rPr>
          <w:rFonts w:ascii="Liberation Serif" w:hAnsi="Liberation Serif" w:cs="Liberation Serif"/>
          <w:sz w:val="28"/>
          <w:szCs w:val="28"/>
        </w:rPr>
      </w:pPr>
    </w:p>
    <w:p w:rsidR="000A5EB4" w:rsidRDefault="000A5EB4">
      <w:pPr>
        <w:rPr>
          <w:rFonts w:ascii="Liberation Serif" w:hAnsi="Liberation Serif" w:cs="Liberation Serif"/>
          <w:sz w:val="28"/>
          <w:szCs w:val="28"/>
        </w:rPr>
      </w:pPr>
    </w:p>
    <w:p w:rsidR="000A5EB4" w:rsidRDefault="001E7E90">
      <w:pPr>
        <w:tabs>
          <w:tab w:val="left" w:pos="1620"/>
        </w:tabs>
        <w:jc w:val="center"/>
      </w:pPr>
      <w:r>
        <w:tab/>
      </w:r>
      <w:r>
        <w:tab/>
      </w:r>
      <w:r>
        <w:tab/>
        <w:t xml:space="preserve">     </w:t>
      </w:r>
    </w:p>
    <w:p w:rsidR="000A5EB4" w:rsidRDefault="001E7E90">
      <w:pPr>
        <w:tabs>
          <w:tab w:val="left" w:pos="1620"/>
        </w:tabs>
        <w:jc w:val="center"/>
        <w:rPr>
          <w:rFonts w:ascii="Liberation Serif" w:hAnsi="Liberation Serif"/>
        </w:rPr>
      </w:pPr>
      <w:r>
        <w:tab/>
      </w:r>
      <w:r>
        <w:tab/>
      </w:r>
      <w:r>
        <w:tab/>
      </w:r>
      <w:r>
        <w:t xml:space="preserve">                      </w:t>
      </w:r>
    </w:p>
    <w:p w:rsidR="000A5EB4" w:rsidRDefault="000A5EB4">
      <w:pPr>
        <w:tabs>
          <w:tab w:val="left" w:pos="1620"/>
        </w:tabs>
        <w:jc w:val="center"/>
        <w:rPr>
          <w:rFonts w:ascii="Liberation Serif" w:hAnsi="Liberation Serif"/>
        </w:rPr>
      </w:pPr>
    </w:p>
    <w:p w:rsidR="000A5EB4" w:rsidRDefault="000A5EB4">
      <w:pPr>
        <w:tabs>
          <w:tab w:val="left" w:pos="1620"/>
        </w:tabs>
        <w:jc w:val="center"/>
        <w:rPr>
          <w:rFonts w:ascii="Liberation Serif" w:hAnsi="Liberation Serif"/>
        </w:rPr>
      </w:pPr>
    </w:p>
    <w:p w:rsidR="000A5EB4" w:rsidRDefault="001E7E90">
      <w:pPr>
        <w:tabs>
          <w:tab w:val="left" w:pos="1620"/>
        </w:tabs>
        <w:jc w:val="center"/>
        <w:rPr>
          <w:rFonts w:ascii="Liberation Serif" w:hAnsi="Liberation Serif"/>
        </w:rPr>
      </w:pPr>
      <w:r>
        <w:lastRenderedPageBreak/>
        <w:t xml:space="preserve">                               </w:t>
      </w:r>
      <w:r>
        <w:rPr>
          <w:rFonts w:ascii="Liberation Serif" w:hAnsi="Liberation Serif"/>
        </w:rPr>
        <w:t>Утвержден</w:t>
      </w:r>
    </w:p>
    <w:p w:rsidR="000A5EB4" w:rsidRDefault="001E7E9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распоряжением начальника финансового отдела администрации</w:t>
      </w:r>
    </w:p>
    <w:p w:rsidR="000A5EB4" w:rsidRDefault="001E7E9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0A5EB4" w:rsidRDefault="001E7E90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 </w:t>
      </w:r>
      <w:r w:rsidR="00937EB4" w:rsidRPr="00937EB4">
        <w:rPr>
          <w:rFonts w:ascii="Liberation Serif" w:hAnsi="Liberation Serif"/>
          <w:u w:val="single"/>
        </w:rPr>
        <w:t>26</w:t>
      </w:r>
      <w:r>
        <w:rPr>
          <w:rFonts w:ascii="Liberation Serif" w:hAnsi="Liberation Serif"/>
        </w:rPr>
        <w:t xml:space="preserve">» декабря  2022 года </w:t>
      </w:r>
      <w:r w:rsidRPr="00937EB4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</w:t>
      </w:r>
      <w:r w:rsidR="00937EB4" w:rsidRPr="00937EB4">
        <w:rPr>
          <w:rFonts w:ascii="Liberation Serif" w:hAnsi="Liberation Serif"/>
          <w:u w:val="single"/>
        </w:rPr>
        <w:t>70</w:t>
      </w:r>
    </w:p>
    <w:p w:rsidR="000A5EB4" w:rsidRDefault="000A5EB4">
      <w:pPr>
        <w:tabs>
          <w:tab w:val="left" w:pos="1620"/>
        </w:tabs>
        <w:ind w:left="5216"/>
        <w:jc w:val="both"/>
        <w:rPr>
          <w:rFonts w:ascii="Liberation Serif" w:hAnsi="Liberation Serif"/>
        </w:rPr>
      </w:pPr>
    </w:p>
    <w:p w:rsidR="000A5EB4" w:rsidRDefault="000A5EB4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0A5EB4" w:rsidRDefault="001E7E90">
      <w:pPr>
        <w:pStyle w:val="ConsPlusTitle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ПОРЯДОК</w:t>
      </w:r>
    </w:p>
    <w:p w:rsidR="000A5EB4" w:rsidRDefault="001E7E90">
      <w:pPr>
        <w:tabs>
          <w:tab w:val="left" w:pos="1620"/>
        </w:tabs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санкционирования расходов участников казначейско</w:t>
      </w:r>
      <w:bookmarkStart w:id="0" w:name="_GoBack"/>
      <w:bookmarkEnd w:id="0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го соп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ровождения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 ЗАТО Свободный</w:t>
      </w:r>
    </w:p>
    <w:p w:rsidR="000A5EB4" w:rsidRDefault="000A5EB4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0A5EB4" w:rsidRDefault="000A5EB4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0A5EB4" w:rsidRDefault="001E7E90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1. Настоящий порядок разработан в соответствии с пунктом 5 статьи 242.23 Бюджетного кодекса Российской Федерации и устанавливает порядок санкционирования расходов участников каз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начейского сопровождения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Свободный, источником финансового обеспечения которых являются средства, предоставляемые юридическим лицам (не являющимся участниками бюджетного процесса, бюджетным и автономн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ым учреждением), индивидуальным предпринимателям, физическим лицам – производителям товаров, работ, услуг (далее – участник казначейского сопровождения) из бюджета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 (далее – целевые расходы).</w:t>
      </w:r>
    </w:p>
    <w:p w:rsidR="000A5EB4" w:rsidRDefault="001E7E90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2. Санкционирование целевых расх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одов участников казначейского сопровождения осуществляется на лицевом счете, предназначенном для осуществления и отражения операций с денежными средствами участников казначейского сопровождения, открытом в соответствии с порядком открытия и ведения лицевых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счетов при осуществлении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 казначейского сопровождения средств (далее – лицевой счет), после проверки информации о суммах и направлениях расходования целевых средств, указанной в платежном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по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ручении, на ее соответствие информации, содержащейся в муниципальном контракте на поставку товаров, выполнение работ, оказание услуг (далее – муниципальный контракт), договоре (соглашении) о предоставлении субсидии (далее – договор (соглашение)), контракте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(договоре) на поставку товаров, выполнение работ, оказание услуг и договоре о предоставлении бюджетных инвестиций или взносов в уставные (складочные) капиталы (вкладов в имущество) юридических лиц (их дочерних обществ) (далее – контракт (договор о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предост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авлении инвестиций)), и документах, подтверждающих возникновение денежных обязательств.</w:t>
      </w:r>
      <w:proofErr w:type="gramEnd"/>
    </w:p>
    <w:p w:rsidR="000A5EB4" w:rsidRDefault="001E7E90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3. Участник казначейского сопровождения, являющийся получателем средств по муниципальному контракту, договору (соглашению), контракту (договору о предоставлении инвести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ций) (далее – документ, обосновывающий обязательство) в целях санкционирования расходов, представляет в финансовый отдел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 (далее – финансовый отдел) в соответствии с настоящим порядком на основании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>документа, 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босновывающего обязательство, аналитического кода раздела, открываемого в разрезе каждого документа, обосновывающего обязательство, распоряжение в виде платежного поручения, оформленного в соответствии с требованиями, утвержденными Центральным банком Росси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йской Федерации (далее – платежное поручение).</w:t>
      </w:r>
    </w:p>
    <w:p w:rsidR="000A5EB4" w:rsidRDefault="001E7E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Для санкционирования целевых расходов участников казначейского сопровождения, источником финансового обеспечения которых являются целевые средства, участник казначейского сопровождения представляет в финанс</w:t>
      </w:r>
      <w:r>
        <w:rPr>
          <w:rFonts w:ascii="Liberation Serif" w:hAnsi="Liberation Serif" w:cs="Liberation Serif"/>
          <w:sz w:val="28"/>
          <w:szCs w:val="28"/>
        </w:rPr>
        <w:t xml:space="preserve">овый отдел сведения об операциях с целевыми средствами на текущий финансовый год и плановый период (далее – Сведения) по форме согласно приложению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 xml:space="preserve"> 1 к настоящему порядку, в которых указываются источники поступлений целевых средств в соответствии с Перечнем источников поступлений целевых средств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согласно приложению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 xml:space="preserve"> 2 к настоящему порядку (далее – Перечень источников поступлений целевых средств), а </w:t>
      </w:r>
      <w:r>
        <w:rPr>
          <w:rFonts w:ascii="Liberation Serif" w:hAnsi="Liberation Serif" w:cs="Liberation Serif"/>
          <w:sz w:val="28"/>
          <w:szCs w:val="28"/>
        </w:rPr>
        <w:t>также направления расходования целевых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в 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оответствии с Перечнем направлений расходования целевых средств согласно приложению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 xml:space="preserve"> 3 к настоящему порядку (далее – Перечень направлений расходования), соответствующие целям (предмету) документа, обосновы</w:t>
      </w:r>
      <w:r>
        <w:rPr>
          <w:rFonts w:ascii="Liberation Serif" w:hAnsi="Liberation Serif" w:cs="Liberation Serif"/>
          <w:sz w:val="28"/>
          <w:szCs w:val="28"/>
        </w:rPr>
        <w:t>вающего обязательство.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представляются в электронном виде в программном комплексе "Бюджет–СМАРТ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П</w:t>
      </w:r>
      <w:proofErr w:type="gramEnd"/>
      <w:r>
        <w:rPr>
          <w:rFonts w:ascii="Liberation Serif" w:hAnsi="Liberation Serif" w:cs="Liberation Serif"/>
          <w:sz w:val="28"/>
          <w:szCs w:val="28"/>
        </w:rPr>
        <w:t>ро", подписываются усиленной квалифицированной электронной подписью уполномоченного лица участника казначейского сопровождения и подтверждаются усиленн</w:t>
      </w:r>
      <w:r>
        <w:rPr>
          <w:rFonts w:ascii="Liberation Serif" w:hAnsi="Liberation Serif" w:cs="Liberation Serif"/>
          <w:sz w:val="28"/>
          <w:szCs w:val="28"/>
        </w:rPr>
        <w:t>ой квалифицированной электронной подписью получателя бюджетных средств, муниципального заказчика, заказчика–учреждения, юридического лица, предоставляющего целевые средства (далее – электронный вид). При отсутствии технической возможности Сведения, утвержд</w:t>
      </w:r>
      <w:r>
        <w:rPr>
          <w:rFonts w:ascii="Liberation Serif" w:hAnsi="Liberation Serif" w:cs="Liberation Serif"/>
          <w:sz w:val="28"/>
          <w:szCs w:val="28"/>
        </w:rPr>
        <w:t>енные получателем бюджетных средств, муниципальным заказчиком, заказчиком-учреждением, юридическим лицом, предоставляющим целевые средства, представляются на бумажном носителе в двух экземплярах.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Финансовый отдел не позднее рабочего дня, следующего за днем</w:t>
      </w:r>
      <w:r>
        <w:rPr>
          <w:rFonts w:ascii="Liberation Serif" w:hAnsi="Liberation Serif" w:cs="Liberation Serif"/>
          <w:sz w:val="28"/>
          <w:szCs w:val="28"/>
        </w:rPr>
        <w:t xml:space="preserve"> представления участником казначейского сопровождения в финансовый отдел Сведений, осуществляет проверку правильности их заполнения.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положительного результата проверки Сведений финансовый отдел не позднее второго рабочего дня, следующего за днем и</w:t>
      </w:r>
      <w:r>
        <w:rPr>
          <w:rFonts w:ascii="Liberation Serif" w:hAnsi="Liberation Serif" w:cs="Liberation Serif"/>
          <w:sz w:val="28"/>
          <w:szCs w:val="28"/>
        </w:rPr>
        <w:t>х представления, утверждает Сведения в программном комплексе "Бюджет–СМАРТ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П</w:t>
      </w:r>
      <w:proofErr w:type="gramEnd"/>
      <w:r>
        <w:rPr>
          <w:rFonts w:ascii="Liberation Serif" w:hAnsi="Liberation Serif" w:cs="Liberation Serif"/>
          <w:sz w:val="28"/>
          <w:szCs w:val="28"/>
        </w:rPr>
        <w:t>ро" или в случае их представления на бумажном носителе заносит их в программный комплекс "Бюджет–СМАРТ Про".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отрицательного результата проверки Сведений участнику казначей</w:t>
      </w:r>
      <w:r>
        <w:rPr>
          <w:rFonts w:ascii="Liberation Serif" w:hAnsi="Liberation Serif" w:cs="Liberation Serif"/>
          <w:sz w:val="28"/>
          <w:szCs w:val="28"/>
        </w:rPr>
        <w:t>ского сопровождения не позднее второго рабочего дня, следующего за днем их представления, направляется уведомление о выявленных несоответствиях в программном комплексе «Бюджет-СМАРТ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П</w:t>
      </w:r>
      <w:proofErr w:type="gramEnd"/>
      <w:r>
        <w:rPr>
          <w:rFonts w:ascii="Liberation Serif" w:hAnsi="Liberation Serif" w:cs="Liberation Serif"/>
          <w:sz w:val="28"/>
          <w:szCs w:val="28"/>
        </w:rPr>
        <w:t>ро» или в случае их представления на бумажном носителе уведомление о выяв</w:t>
      </w:r>
      <w:r>
        <w:rPr>
          <w:rFonts w:ascii="Liberation Serif" w:hAnsi="Liberation Serif" w:cs="Liberation Serif"/>
          <w:sz w:val="28"/>
          <w:szCs w:val="28"/>
        </w:rPr>
        <w:t>ленных несоответствиях направляется с сопроводительным письмом.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Сведения утверждаются на срок действия: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муниципального контракта;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договора (соглашения);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контракта (договора о предоставлении инвестиций).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Сведения для участника казначейского с</w:t>
      </w:r>
      <w:r>
        <w:rPr>
          <w:rFonts w:ascii="Liberation Serif" w:hAnsi="Liberation Serif" w:cs="Liberation Serif"/>
          <w:sz w:val="28"/>
          <w:szCs w:val="28"/>
        </w:rPr>
        <w:t>опровождения, являющегося: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а) исполнителем по контракту (договору) утверждаются муниципальным заказчиком по контракту (договору);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б) получателем субсидии по соглашению утверждаются главным распорядителем бюджетных средств;</w:t>
      </w:r>
      <w:bookmarkStart w:id="1" w:name="P41"/>
      <w:bookmarkEnd w:id="1"/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в) получателем субсидии, источник</w:t>
      </w:r>
      <w:r>
        <w:rPr>
          <w:rFonts w:ascii="Liberation Serif" w:hAnsi="Liberation Serif" w:cs="Liberation Serif"/>
          <w:sz w:val="28"/>
          <w:szCs w:val="28"/>
        </w:rPr>
        <w:t>ом финансового обеспечения которых являются не использованные на начало текущего финансового года остатки субсидий, а также средства от возврата ранее произведенных участником казначейского сопровождения выплат прошлых лет (далее – дебиторская задолженност</w:t>
      </w:r>
      <w:r>
        <w:rPr>
          <w:rFonts w:ascii="Liberation Serif" w:hAnsi="Liberation Serif" w:cs="Liberation Serif"/>
          <w:sz w:val="28"/>
          <w:szCs w:val="28"/>
        </w:rPr>
        <w:t>ь), источником финансового обеспечения которых являются указанные субсидии, в отношении которых в установленном порядке принято решение об их использовании для достижения результатов, установленных при предоставлении целевых средств, утверждаются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соответст</w:t>
      </w:r>
      <w:r>
        <w:rPr>
          <w:rFonts w:ascii="Liberation Serif" w:hAnsi="Liberation Serif" w:cs="Liberation Serif"/>
          <w:sz w:val="28"/>
          <w:szCs w:val="28"/>
        </w:rPr>
        <w:t>вующим главным распорядителем бюджетных средств.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Сведениях указывается следующая информация: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заголовочной части: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дата составления Сведений, а также дата представления предыдущих Сведений;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об участнике казначейского сопровождения: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</w:t>
      </w:r>
      <w:r>
        <w:rPr>
          <w:rFonts w:ascii="Liberation Serif" w:hAnsi="Liberation Serif" w:cs="Liberation Serif"/>
          <w:sz w:val="28"/>
          <w:szCs w:val="28"/>
        </w:rPr>
        <w:t>нование участника казначейского сопровождения;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уникальный код участника казначейского сопровождения по реестру участников бюджетного процесса, а также юридических лиц, не являющихся участниками бюджетного процесса (далее – Сводный реестр) (при наличии);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</w:t>
      </w:r>
      <w:r>
        <w:rPr>
          <w:rFonts w:ascii="Liberation Serif" w:hAnsi="Liberation Serif" w:cs="Liberation Serif"/>
          <w:sz w:val="28"/>
          <w:szCs w:val="28"/>
        </w:rPr>
        <w:t>мер лицевого счета;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аналитический код раздела на лицевом счете;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идентификационный номер налогоплательщика (далее – ИНН);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код причины постановки на учет в налоговом органе (далее – КПП);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бюджет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получателе бюдже</w:t>
      </w:r>
      <w:r>
        <w:rPr>
          <w:rFonts w:ascii="Liberation Serif" w:hAnsi="Liberation Serif" w:cs="Liberation Serif"/>
          <w:sz w:val="28"/>
          <w:szCs w:val="28"/>
        </w:rPr>
        <w:t>тных средств, муниципальном заказчике, заказчике–учреждении, юридическом лице: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уникальный код по Сводному реестру (при наличии);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лицевого счета;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аналитический код раздела на лицевом счете;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финансового органа, в котором участнику казначей</w:t>
      </w:r>
      <w:r>
        <w:rPr>
          <w:rFonts w:ascii="Liberation Serif" w:hAnsi="Liberation Serif" w:cs="Liberation Serif"/>
          <w:sz w:val="28"/>
          <w:szCs w:val="28"/>
        </w:rPr>
        <w:t>ского сопровождения открыт лицевой счет;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документа, обосновывающего обязательство с указанием номера, даты и идентификатора, и срок действия документа, обосновывающего обязательство, с указанием даты начала и даты окончания срока действия доку</w:t>
      </w:r>
      <w:r>
        <w:rPr>
          <w:rFonts w:ascii="Liberation Serif" w:hAnsi="Liberation Serif" w:cs="Liberation Serif"/>
          <w:sz w:val="28"/>
          <w:szCs w:val="28"/>
        </w:rPr>
        <w:t>мента;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общий объем целевых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в д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енежном выражении, предусмотренный документом, обосновывающим обязательство на текущий финансовый год, на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первый год планируемого периода, на второй год планируемого периода, на последующие годы действия документа </w:t>
      </w:r>
      <w:r>
        <w:rPr>
          <w:rFonts w:ascii="Liberation Serif" w:hAnsi="Liberation Serif" w:cs="Liberation Serif"/>
          <w:sz w:val="28"/>
          <w:szCs w:val="28"/>
        </w:rPr>
        <w:t>обосновывающего обязательство;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табличной части: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графа 1 - наименование источника целевых средств, а также сумма планируемых поступлений целевых средств по соответствующему источнику поступлений целевых средств;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графа 2 - код источника поступлений или </w:t>
      </w:r>
      <w:r>
        <w:rPr>
          <w:rFonts w:ascii="Liberation Serif" w:hAnsi="Liberation Serif" w:cs="Liberation Serif"/>
          <w:sz w:val="28"/>
          <w:szCs w:val="28"/>
        </w:rPr>
        <w:t>код направления расходования целевых средств;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графа 3 - разрешенный к использованию остаток целевых средств на начало года;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>графа 4 - сумма возврата дебиторской задолженности прошлых лет, разрешенная к использованию;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подпись участников казначейского соп</w:t>
      </w:r>
      <w:r>
        <w:rPr>
          <w:rFonts w:ascii="Liberation Serif" w:hAnsi="Liberation Serif" w:cs="Liberation Serif"/>
          <w:sz w:val="28"/>
          <w:szCs w:val="28"/>
        </w:rPr>
        <w:t>ровождения (с расшифровкой): руководителя (иного уполномоченного лица), руководителя финансово-экономической службы (иного уполномоченного лица) (при наличии), ответственного исполнителя с указанием должности - и дата подписания документа, а также номер ко</w:t>
      </w:r>
      <w:r>
        <w:rPr>
          <w:rFonts w:ascii="Liberation Serif" w:hAnsi="Liberation Serif" w:cs="Liberation Serif"/>
          <w:sz w:val="28"/>
          <w:szCs w:val="28"/>
        </w:rPr>
        <w:t>нтактного телефона с указанием кода города ответственного исполнителя.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При внесении изменений в Сведения участник казначейского сопровождения представляет в соответствии с настоящим порядком в финансовый отдел Сведения, в которых указываются показатели </w:t>
      </w:r>
      <w:r>
        <w:rPr>
          <w:rFonts w:ascii="Liberation Serif" w:hAnsi="Liberation Serif" w:cs="Liberation Serif"/>
          <w:sz w:val="28"/>
          <w:szCs w:val="28"/>
        </w:rPr>
        <w:t>с учетом внесенных в Сведения изменений.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случае уменьшения планируемых в текущем финансовом году поступлений целевых средств суммы поступлений по кодам источников поступлений, включая разрешенный к использованию остаток целевых средств (с учетом вносимых</w:t>
      </w:r>
      <w:r>
        <w:rPr>
          <w:rFonts w:ascii="Liberation Serif" w:hAnsi="Liberation Serif" w:cs="Liberation Serif"/>
          <w:sz w:val="28"/>
          <w:szCs w:val="28"/>
        </w:rPr>
        <w:t xml:space="preserve"> изменений), указанные в Сведениях, должны быть больше или равны сумме фактических поступлений по соответствующему коду источников поступлений, отраженных на лицевом счете на дату внесения изменений.</w:t>
      </w:r>
      <w:proofErr w:type="gramEnd"/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уменьшения планируемых в текущем финансовом год</w:t>
      </w:r>
      <w:r>
        <w:rPr>
          <w:rFonts w:ascii="Liberation Serif" w:hAnsi="Liberation Serif" w:cs="Liberation Serif"/>
          <w:sz w:val="28"/>
          <w:szCs w:val="28"/>
        </w:rPr>
        <w:t>у целевых расходов сумма планируемых выплат по кодам направлений расходования целевых средств, указанная в Сведениях, должна быть больше или равна сумме произведенных целевых расходов по соответствующему коду выплат, отраженных на лицевом счете на дату вне</w:t>
      </w:r>
      <w:r>
        <w:rPr>
          <w:rFonts w:ascii="Liberation Serif" w:hAnsi="Liberation Serif" w:cs="Liberation Serif"/>
          <w:sz w:val="28"/>
          <w:szCs w:val="28"/>
        </w:rPr>
        <w:t>сения изменений.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Операции по целевым расходам осуществляются в пределах остатка средств, отраженных по соответствующему Идентификатору на лицевом счете целевых расходов.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Суммы, зачисленные на казначейский счет финансового отдела для осуществления и отра</w:t>
      </w:r>
      <w:r>
        <w:rPr>
          <w:rFonts w:ascii="Liberation Serif" w:hAnsi="Liberation Serif" w:cs="Liberation Serif"/>
          <w:sz w:val="28"/>
          <w:szCs w:val="28"/>
        </w:rPr>
        <w:t>жения операций с денежными средствами участников казначейского сопровождения, на основании расчетных документов, в которых не указан Идентификатор или указан несуществующий Идентификатор и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или)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лицевой счет, учитываются финансовым отделом на казначейском </w:t>
      </w:r>
      <w:r>
        <w:rPr>
          <w:rFonts w:ascii="Liberation Serif" w:hAnsi="Liberation Serif" w:cs="Liberation Serif"/>
          <w:sz w:val="28"/>
          <w:szCs w:val="28"/>
        </w:rPr>
        <w:t>счете для осуществления и отражения операций с денежными средствами участников казначейского сопровождения как невыясненные поступления.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Невыясненные поступления по запросу финансового отдела подлежат уточнению участником казначейского сопровождения в тече</w:t>
      </w:r>
      <w:r>
        <w:rPr>
          <w:rFonts w:ascii="Liberation Serif" w:hAnsi="Liberation Serif" w:cs="Liberation Serif"/>
          <w:sz w:val="28"/>
          <w:szCs w:val="28"/>
        </w:rPr>
        <w:t xml:space="preserve">ние 10 рабочих дней со дня их поступления на казначейский счет для осуществления и отражения операций с денежными средствами участников казначейского сопровождения. В случае если в течение указанного срока вышеуказанные основания для учета поступлений как </w:t>
      </w:r>
      <w:r>
        <w:rPr>
          <w:rFonts w:ascii="Liberation Serif" w:hAnsi="Liberation Serif" w:cs="Liberation Serif"/>
          <w:sz w:val="28"/>
          <w:szCs w:val="28"/>
        </w:rPr>
        <w:t>невыясненных не устранены, финансовый отдел возвращает данные суммы отправителю.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На основании информации, представленной участником казначейского сопровождения по уточнению невыясненных поступлений, финансовый отдел формирует уведомление об уточнении опера</w:t>
      </w:r>
      <w:r>
        <w:rPr>
          <w:rFonts w:ascii="Liberation Serif" w:hAnsi="Liberation Serif" w:cs="Liberation Serif"/>
          <w:sz w:val="28"/>
          <w:szCs w:val="28"/>
        </w:rPr>
        <w:t xml:space="preserve">ций клиента по форме согласно приложению </w:t>
      </w:r>
      <w:r>
        <w:rPr>
          <w:rFonts w:ascii="Liberation Serif" w:hAnsi="Liberation Serif" w:cs="Liberation Serif"/>
          <w:sz w:val="28"/>
          <w:szCs w:val="28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</w:rPr>
        <w:t xml:space="preserve"> 5 к настоящему порядку и осуществляет зачисление (восстановление кассовых выплат) без списания–зачисления средств на казначейском счете для осуществления и отражения операций с денежными средствами участников казн</w:t>
      </w:r>
      <w:r>
        <w:rPr>
          <w:rFonts w:ascii="Liberation Serif" w:hAnsi="Liberation Serif" w:cs="Liberation Serif"/>
          <w:sz w:val="28"/>
          <w:szCs w:val="28"/>
        </w:rPr>
        <w:t>ачейского сопровождения с отражением на соответствующем лицевом счете участника казначейского сопровождения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Устанавливается запрет на перечисление целевых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с л</w:t>
      </w:r>
      <w:proofErr w:type="gramEnd"/>
      <w:r>
        <w:rPr>
          <w:rFonts w:ascii="Liberation Serif" w:hAnsi="Liberation Serif" w:cs="Liberation Serif"/>
          <w:sz w:val="28"/>
          <w:szCs w:val="28"/>
        </w:rPr>
        <w:t>ицевого счета: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 в качестве взноса в уставный (складочный) капитал другого юридическ</w:t>
      </w:r>
      <w:r>
        <w:rPr>
          <w:rFonts w:ascii="Liberation Serif" w:hAnsi="Liberation Serif" w:cs="Liberation Serif"/>
          <w:sz w:val="28"/>
          <w:szCs w:val="28"/>
        </w:rPr>
        <w:t>ого лица (дочернего общества юридического лица), вклада в имущество другого юридического лица (дочернего общества юридического лица), не увеличивающего его уставный (складочный) капитал, если нормативными правовыми актами, регулирующими порядок предоставле</w:t>
      </w:r>
      <w:r>
        <w:rPr>
          <w:rFonts w:ascii="Liberation Serif" w:hAnsi="Liberation Serif" w:cs="Liberation Serif"/>
          <w:sz w:val="28"/>
          <w:szCs w:val="28"/>
        </w:rPr>
        <w:t>ния целевых средств, не предусмотрена возможность их перечисления указанному юридическому лицу (дочернему обществу юридического лица) на счета, открытые им в учреждении Центрального банка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или кредитной организации (далее – банк);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</w:t>
      </w:r>
      <w:r>
        <w:rPr>
          <w:rFonts w:ascii="Liberation Serif" w:hAnsi="Liberation Serif" w:cs="Liberation Serif"/>
          <w:sz w:val="28"/>
          <w:szCs w:val="28"/>
        </w:rPr>
        <w:t>целях размещения средств на депозитах, а также в иные финансовые инструменты, за исключением случаев, установленных действующим законодательством;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 счета, открытые в банке участнику казначейского сопровождения целевых средств, за исключением: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оплаты о</w:t>
      </w:r>
      <w:r>
        <w:rPr>
          <w:rFonts w:ascii="Liberation Serif" w:hAnsi="Liberation Serif" w:cs="Liberation Serif"/>
          <w:sz w:val="28"/>
          <w:szCs w:val="28"/>
        </w:rPr>
        <w:t>бязательств участника казначейского сопровождения целевых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в с</w:t>
      </w:r>
      <w:proofErr w:type="gramEnd"/>
      <w:r>
        <w:rPr>
          <w:rFonts w:ascii="Liberation Serif" w:hAnsi="Liberation Serif" w:cs="Liberation Serif"/>
          <w:sz w:val="28"/>
          <w:szCs w:val="28"/>
        </w:rPr>
        <w:t>оответствии с валютным законодательством Российской Федерации;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оплаты обязательств участника казначейского сопровождения целевых средств по оплате труда с учетом начислений и социальных в</w:t>
      </w:r>
      <w:r>
        <w:rPr>
          <w:rFonts w:ascii="Liberation Serif" w:hAnsi="Liberation Serif" w:cs="Liberation Serif"/>
          <w:sz w:val="28"/>
          <w:szCs w:val="28"/>
        </w:rPr>
        <w:t>ыплат, иных выплат в пользу работников, а также выплат лицам, не состоящим в штате юридического лица, привлеченным для достижения цели, определенной при предоставлении средств;</w:t>
      </w:r>
      <w:bookmarkStart w:id="2" w:name="P88"/>
      <w:bookmarkEnd w:id="2"/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оплаты фактически поставленных товаров (выполненных работ, оказанных услуг), ис</w:t>
      </w:r>
      <w:r>
        <w:rPr>
          <w:rFonts w:ascii="Liberation Serif" w:hAnsi="Liberation Serif" w:cs="Liberation Serif"/>
          <w:sz w:val="28"/>
          <w:szCs w:val="28"/>
        </w:rPr>
        <w:t xml:space="preserve">точником финансового обеспечения которых являются целевые средства, в случае если участник казначейского сопровождения не привлекает для поставки товаров, выполнения работ, оказания услуг иных юридических лиц, а также при условии представления документов, </w:t>
      </w:r>
      <w:r>
        <w:rPr>
          <w:rFonts w:ascii="Liberation Serif" w:hAnsi="Liberation Serif" w:cs="Liberation Serif"/>
          <w:sz w:val="28"/>
          <w:szCs w:val="28"/>
        </w:rPr>
        <w:t xml:space="preserve">подтверждающих факт поставки товаров (выполнения работ, оказания услуг) и (или) иных документов,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предусмотренных муниципальными контрактами, договорами (соглашениями), контрактами (договорами) или нормативными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правовыми актами (правовыми актами), регулирую</w:t>
      </w:r>
      <w:r>
        <w:rPr>
          <w:rFonts w:ascii="Liberation Serif" w:hAnsi="Liberation Serif" w:cs="Liberation Serif"/>
          <w:sz w:val="28"/>
          <w:szCs w:val="28"/>
        </w:rPr>
        <w:t>щими порядок предоставления целевых средств (далее – документы–основания);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возмещения произведенных участником казначейского сопровождения целевых средств расходов (части расходов) при условии представления документов в соответствии с абзацем четвертым нас</w:t>
      </w:r>
      <w:r>
        <w:rPr>
          <w:rFonts w:ascii="Liberation Serif" w:hAnsi="Liberation Serif" w:cs="Liberation Serif"/>
          <w:sz w:val="28"/>
          <w:szCs w:val="28"/>
        </w:rPr>
        <w:t>тоящего подпункта, а также копий платежных поручений, реестров платежных поручений и иных документов, подтверждающих оплату произведенных участником казначейского сопровождения целевых средств расходов (части расходов), а также муниципальных контрактов, до</w:t>
      </w:r>
      <w:r>
        <w:rPr>
          <w:rFonts w:ascii="Liberation Serif" w:hAnsi="Liberation Serif" w:cs="Liberation Serif"/>
          <w:sz w:val="28"/>
          <w:szCs w:val="28"/>
        </w:rPr>
        <w:t>говоров (соглашений), контрактов (договоров) или нормативных правовых актов (правовых актов), регулирующих порядок предоставления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целевых средств, если условиями муниципального контракта, договора (соглашения), контракта (договора) предусмотрено возмещение</w:t>
      </w:r>
      <w:r>
        <w:rPr>
          <w:rFonts w:ascii="Liberation Serif" w:hAnsi="Liberation Serif" w:cs="Liberation Serif"/>
          <w:sz w:val="28"/>
          <w:szCs w:val="28"/>
        </w:rPr>
        <w:t xml:space="preserve"> произведенных участником казначейского сопровождения целевых средств расходов (части расходов);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4) на счета, открытые в банках юридическим лицам, заключившим с участником казначейского сопровождения целевых средств договоры (соглашения), контракты (догово</w:t>
      </w:r>
      <w:r>
        <w:rPr>
          <w:rFonts w:ascii="Liberation Serif" w:hAnsi="Liberation Serif" w:cs="Liberation Serif"/>
          <w:sz w:val="28"/>
          <w:szCs w:val="28"/>
        </w:rPr>
        <w:t>ры), за исключением договоров (соглашений),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</w:t>
      </w:r>
      <w:r>
        <w:rPr>
          <w:rFonts w:ascii="Liberation Serif" w:hAnsi="Liberation Serif" w:cs="Liberation Serif"/>
          <w:sz w:val="28"/>
          <w:szCs w:val="28"/>
        </w:rPr>
        <w:t>чных услуг, услуг по организации и осуществлению перевозки грузов и пассажиров железнодорожным транспортом общего пользования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авиационных и железнодорожных билетов, билетов для проезда городским и пригородным транспортом, подписки на периодические издания</w:t>
      </w:r>
      <w:r>
        <w:rPr>
          <w:rFonts w:ascii="Liberation Serif" w:hAnsi="Liberation Serif" w:cs="Liberation Serif"/>
          <w:sz w:val="28"/>
          <w:szCs w:val="28"/>
        </w:rPr>
        <w:t>, в целях аренды, осуществления работ по переносу (переустройству, присоединению) принадлежащих участникам казначейского сопровождения целевых средств инженерных сетей, коммуникаций, сооружений, а также проведения государственной экспертизы проектной докум</w:t>
      </w:r>
      <w:r>
        <w:rPr>
          <w:rFonts w:ascii="Liberation Serif" w:hAnsi="Liberation Serif" w:cs="Liberation Serif"/>
          <w:sz w:val="28"/>
          <w:szCs w:val="28"/>
        </w:rPr>
        <w:t>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Федерации, приобретения услуг по приему </w:t>
      </w:r>
      <w:r>
        <w:rPr>
          <w:rFonts w:ascii="Liberation Serif" w:hAnsi="Liberation Serif" w:cs="Liberation Serif"/>
          <w:sz w:val="28"/>
          <w:szCs w:val="28"/>
        </w:rPr>
        <w:t>платежей от физических лиц, осуществляемых платежными агентами.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Документы, обосновывающие обязательство, вместе с платежным поручением на оплату целевых расходов и документами–основаниями представляются в электронном виде в программном комплексе "Бюдже</w:t>
      </w:r>
      <w:r>
        <w:rPr>
          <w:rFonts w:ascii="Liberation Serif" w:hAnsi="Liberation Serif" w:cs="Liberation Serif"/>
          <w:sz w:val="28"/>
          <w:szCs w:val="28"/>
        </w:rPr>
        <w:t>т–СМАРТ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П</w:t>
      </w:r>
      <w:proofErr w:type="gramEnd"/>
      <w:r>
        <w:rPr>
          <w:rFonts w:ascii="Liberation Serif" w:hAnsi="Liberation Serif" w:cs="Liberation Serif"/>
          <w:sz w:val="28"/>
          <w:szCs w:val="28"/>
        </w:rPr>
        <w:t>ро" и подписываются усиленной квалифицированной электронной подписью уполномоченного лица участника казначейского сопровождения. В случае невозможности осуществления информационного обмена документами в электронном виде платежные поручения предста</w:t>
      </w:r>
      <w:r>
        <w:rPr>
          <w:rFonts w:ascii="Liberation Serif" w:hAnsi="Liberation Serif" w:cs="Liberation Serif"/>
          <w:sz w:val="28"/>
          <w:szCs w:val="28"/>
        </w:rPr>
        <w:t xml:space="preserve">вляются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бумажном носителе в двух экземплярах с одновременным представлением в электронном </w:t>
      </w:r>
      <w:r>
        <w:rPr>
          <w:rFonts w:ascii="Liberation Serif" w:hAnsi="Liberation Serif" w:cs="Liberation Serif"/>
          <w:sz w:val="28"/>
          <w:szCs w:val="28"/>
        </w:rPr>
        <w:lastRenderedPageBreak/>
        <w:t>виде на съемном машинном носителе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информации (далее – бумажный носитель).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Платежные поручения на бумажном носителе подписываются руководителем и главным бухгалтеро</w:t>
      </w:r>
      <w:r>
        <w:rPr>
          <w:rFonts w:ascii="Liberation Serif" w:hAnsi="Liberation Serif" w:cs="Liberation Serif"/>
          <w:sz w:val="28"/>
          <w:szCs w:val="28"/>
        </w:rPr>
        <w:t>м (при наличии) (уполномоченными руководителем лицами) участника казначейского сопровождения.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При предоставлении в финансовый отдел платежных поручений на бумажном носителе финансовым отделом дополнительно производится проверка на соответствие подписей рук</w:t>
      </w:r>
      <w:r>
        <w:rPr>
          <w:rFonts w:ascii="Liberation Serif" w:hAnsi="Liberation Serif" w:cs="Liberation Serif"/>
          <w:sz w:val="28"/>
          <w:szCs w:val="28"/>
        </w:rPr>
        <w:t>оводителя и главного бухгалтера (иных уполномоченных руководителем лиц) имеющимся образцам, представленным участником казначейского сопровождения в порядке, установленном финансовым отделом для открытия соответствующего лицевого счета.</w:t>
      </w:r>
      <w:proofErr w:type="gramEnd"/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Финансовый отдел не </w:t>
      </w:r>
      <w:r>
        <w:rPr>
          <w:rFonts w:ascii="Liberation Serif" w:hAnsi="Liberation Serif" w:cs="Liberation Serif"/>
          <w:sz w:val="28"/>
          <w:szCs w:val="28"/>
        </w:rPr>
        <w:t>позднее рабочего дня, следующего за днем представления участником казначейского сопровождения в финансовый отдел документов на бумажном носителе, проверяет их на идентичность документам, представленным на машинном носителе.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Платежные поручения, поступившие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электронном виде в программном комплексе "Бюджет–СМАРТ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П</w:t>
      </w:r>
      <w:proofErr w:type="gramEnd"/>
      <w:r>
        <w:rPr>
          <w:rFonts w:ascii="Liberation Serif" w:hAnsi="Liberation Serif" w:cs="Liberation Serif"/>
          <w:sz w:val="28"/>
          <w:szCs w:val="28"/>
        </w:rPr>
        <w:t>ро", автоматически проверяются в информационной системе на наличие и достоверность усиленной квалифицированной электронной подписи.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Платежные поручения подлежат проверке не позднее рабочего дня, </w:t>
      </w:r>
      <w:r>
        <w:rPr>
          <w:rFonts w:ascii="Liberation Serif" w:hAnsi="Liberation Serif" w:cs="Liberation Serif"/>
          <w:sz w:val="28"/>
          <w:szCs w:val="28"/>
        </w:rPr>
        <w:t>следующего за днем их представления участником казначейского сопровождения в финансовый отдел.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Финансовый отдел при санкционировании целевых расходов осуществляет проверку представленных участником казначейского сопровождения документов по следующим на</w:t>
      </w:r>
      <w:r>
        <w:rPr>
          <w:rFonts w:ascii="Liberation Serif" w:hAnsi="Liberation Serif" w:cs="Liberation Serif"/>
          <w:sz w:val="28"/>
          <w:szCs w:val="28"/>
        </w:rPr>
        <w:t>правлениям: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соответствия Идентификатора, указанного в платежном поручении, Идентификатору, указанному в муниципальном контракте, договоре (соглашении), контракте (договоре о предоставлении инвестиций), документах-основаниях и Сведениях;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наличие анали</w:t>
      </w:r>
      <w:r>
        <w:rPr>
          <w:rFonts w:ascii="Liberation Serif" w:hAnsi="Liberation Serif" w:cs="Liberation Serif"/>
          <w:sz w:val="28"/>
          <w:szCs w:val="28"/>
        </w:rPr>
        <w:t>тического кода раздела на лицевом счете при перечислении целевых средств на лицевой счет;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соответствия наименования, ИНН, КПП, банковских реквизитов получателя денежных средств, указанных в платежном поручении, наименованию, ИНН, КПП, банковским реквизи</w:t>
      </w:r>
      <w:r>
        <w:rPr>
          <w:rFonts w:ascii="Liberation Serif" w:hAnsi="Liberation Serif" w:cs="Liberation Serif"/>
          <w:sz w:val="28"/>
          <w:szCs w:val="28"/>
        </w:rPr>
        <w:t>там получателя денежных средств, указанным в документе, обосновывающем обязательство, и документах–основаниях;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непревышения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суммы, указанной в платежном поручении, над суммой остатка средств по соответствующему направлению расходования целевых средств, </w:t>
      </w:r>
      <w:r>
        <w:rPr>
          <w:rFonts w:ascii="Liberation Serif" w:hAnsi="Liberation Serif" w:cs="Liberation Serif"/>
          <w:sz w:val="28"/>
          <w:szCs w:val="28"/>
        </w:rPr>
        <w:t>указанному в Сведениях, и суммой остатка средств на лицевом счете по соответствующему документу, обосновывающему обязательство;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5) наличия в платежном поручении, связанном с поставкой товаров (выполнением работ, оказанием услуг), реквизитов (типа, номера, </w:t>
      </w:r>
      <w:r>
        <w:rPr>
          <w:rFonts w:ascii="Liberation Serif" w:hAnsi="Liberation Serif" w:cs="Liberation Serif"/>
          <w:sz w:val="28"/>
          <w:szCs w:val="28"/>
        </w:rPr>
        <w:t xml:space="preserve">даты) документа, обосновывающего обязательство, документов–оснований и их соответствие реквизитам документа, обосновывающего обязательство,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документов–оснований, представленных вместе с платежным поручением в финансовый отдел;</w:t>
      </w:r>
      <w:proofErr w:type="gramEnd"/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соответствия содержания оп</w:t>
      </w:r>
      <w:r>
        <w:rPr>
          <w:rFonts w:ascii="Liberation Serif" w:hAnsi="Liberation Serif" w:cs="Liberation Serif"/>
          <w:sz w:val="28"/>
          <w:szCs w:val="28"/>
        </w:rPr>
        <w:t>ерации по расходам, связанным с поставкой товаров (выполнением работ, оказанием услуг), исходя из документа–основания, текстовому назначению платежа, указанному в платежном поручении, предмету (результатам) и условиям документа, обосновывающего обязательст</w:t>
      </w:r>
      <w:r>
        <w:rPr>
          <w:rFonts w:ascii="Liberation Serif" w:hAnsi="Liberation Serif" w:cs="Liberation Serif"/>
          <w:sz w:val="28"/>
          <w:szCs w:val="28"/>
        </w:rPr>
        <w:t>во;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соответствия текстового назначения платежа, указанного в платежном поручении, направлению расходования целевых средств, указанному в Сведениях.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hyperlink r:id="rId11">
        <w:proofErr w:type="gramStart"/>
        <w:r>
          <w:rPr>
            <w:rFonts w:ascii="Liberation Serif" w:hAnsi="Liberation Serif" w:cs="Liberation Serif"/>
            <w:sz w:val="28"/>
            <w:szCs w:val="28"/>
          </w:rPr>
          <w:t>Информация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принятых к исполнению платежных поручениях в сл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чае перечисления денежных средств на сумму 600 тысяч рублей и более на банковские счета, открытые в кредитных организациях, за иск</w:t>
      </w:r>
      <w:r>
        <w:rPr>
          <w:rFonts w:ascii="Liberation Serif" w:hAnsi="Liberation Serif" w:cs="Liberation Serif"/>
          <w:sz w:val="28"/>
          <w:szCs w:val="28"/>
        </w:rPr>
        <w:t>лючением в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плат, предусмотренных трудовым законодательством Российской Федерации персоналу участников казначейского сопровождения, указанных в </w:t>
      </w:r>
      <w:hyperlink r:id="rId12">
        <w:r>
          <w:rPr>
            <w:rFonts w:ascii="Liberation Serif" w:hAnsi="Liberation Serif" w:cs="Liberation Serif"/>
            <w:sz w:val="28"/>
            <w:szCs w:val="28"/>
          </w:rPr>
          <w:t>приложении N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настоящему порядку, и платежей по контрактам (договорам), указанным в </w:t>
      </w:r>
      <w:hyperlink r:id="rId13">
        <w:r>
          <w:rPr>
            <w:rFonts w:ascii="Liberation Serif" w:hAnsi="Liberation Serif" w:cs="Liberation Serif"/>
            <w:sz w:val="28"/>
            <w:szCs w:val="28"/>
          </w:rPr>
          <w:t>подпункте 4 пункта 3 статьи 242.23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кодекса Российской Федер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ции, направляется финансовым отделом в территориальный орган Федеральн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го казначейства для осуществления бюджетного мониторинга в с</w:t>
      </w:r>
      <w:r>
        <w:rPr>
          <w:rFonts w:ascii="Liberation Serif" w:hAnsi="Liberation Serif" w:cs="Liberation Serif"/>
          <w:sz w:val="28"/>
          <w:szCs w:val="28"/>
        </w:rPr>
        <w:t>истеме казн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чейских платежей (далее - бюджетный мониторинг) по форме согласно прил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жению N 6 к Порядку осуществления территориальными органами Федерал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ного казначейства санкционирования операций со средствами участников ка</w:t>
      </w: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начейского сопровождения, утвержд</w:t>
      </w:r>
      <w:r>
        <w:rPr>
          <w:rFonts w:ascii="Liberation Serif" w:hAnsi="Liberation Serif" w:cs="Liberation Serif"/>
          <w:sz w:val="28"/>
          <w:szCs w:val="28"/>
        </w:rPr>
        <w:t>енному Приказом Министерства финансов Российской Федерации от 17.12.2021 N 214н "Об утверждении Порядка ос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ществления территориальными органами Федерального казначейства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санкци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нирования операций со средствами участников казначейского сопровождения" (далее</w:t>
      </w:r>
      <w:r>
        <w:rPr>
          <w:rFonts w:ascii="Liberation Serif" w:hAnsi="Liberation Serif" w:cs="Liberation Serif"/>
          <w:sz w:val="28"/>
          <w:szCs w:val="28"/>
        </w:rPr>
        <w:t xml:space="preserve"> - Порядок санкционирования органами Федерального казначейства).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При получении финансовым отделом информации от территориального органа Федерального казначейства по результатам проверки в рамках бюдже</w:t>
      </w:r>
      <w:r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ного мониторинга по форме согласно </w:t>
      </w:r>
      <w:hyperlink r:id="rId14">
        <w:r>
          <w:rPr>
            <w:rFonts w:ascii="Liberation Serif" w:hAnsi="Liberation Serif" w:cs="Liberation Serif"/>
            <w:sz w:val="28"/>
            <w:szCs w:val="28"/>
          </w:rPr>
          <w:t>приложению N 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Порядку санкцион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рования органами Федерального казначейства об отсутствии оснований для приме</w:t>
      </w:r>
      <w:r>
        <w:rPr>
          <w:rFonts w:ascii="Liberation Serif" w:hAnsi="Liberation Serif" w:cs="Liberation Serif"/>
          <w:sz w:val="28"/>
          <w:szCs w:val="28"/>
        </w:rPr>
        <w:t>нения мер реагирования, платежные поручения направляются финанс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вым отделом в территориальный орган Федерального казначейства для их и</w:t>
      </w:r>
      <w:r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полнения не позднее второго рабочего дня, следующего за днем получения в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шеуказанной информации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финансовым отделом.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слу</w:t>
      </w:r>
      <w:r>
        <w:rPr>
          <w:rFonts w:ascii="Liberation Serif" w:hAnsi="Liberation Serif" w:cs="Liberation Serif"/>
          <w:sz w:val="28"/>
          <w:szCs w:val="28"/>
        </w:rPr>
        <w:t>чае получения от территориального органа Федерального казначе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>ства по результатам проверки в рамках бюджетного мониторинга информации о применении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мер реагирования, указанных в </w:t>
      </w:r>
      <w:hyperlink r:id="rId15">
        <w:r>
          <w:rPr>
            <w:rFonts w:ascii="Liberation Serif" w:hAnsi="Liberation Serif" w:cs="Liberation Serif"/>
            <w:sz w:val="28"/>
            <w:szCs w:val="28"/>
          </w:rPr>
          <w:t>подпунктах "б"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6">
        <w:r>
          <w:rPr>
            <w:rFonts w:ascii="Liberation Serif" w:hAnsi="Liberation Serif" w:cs="Liberation Serif"/>
            <w:sz w:val="28"/>
            <w:szCs w:val="28"/>
          </w:rPr>
          <w:t>"г" пункта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санкционирования органами Федерального казначейства, по форме с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гласно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>
        <w:r>
          <w:rPr>
            <w:rFonts w:ascii="Liberation Serif" w:hAnsi="Liberation Serif" w:cs="Liberation Serif"/>
            <w:sz w:val="28"/>
            <w:szCs w:val="28"/>
          </w:rPr>
          <w:t>приложению N 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к Порядку санкционирования органами Федерального казначейства, финансовый </w:t>
      </w:r>
      <w:r>
        <w:rPr>
          <w:rFonts w:ascii="Liberation Serif" w:hAnsi="Liberation Serif" w:cs="Liberation Serif"/>
          <w:sz w:val="28"/>
          <w:szCs w:val="28"/>
        </w:rPr>
        <w:t>отдел: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 при получении информации о применении мер реагирования, пред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смотренных </w:t>
      </w:r>
      <w:hyperlink r:id="rId18">
        <w:r>
          <w:rPr>
            <w:rFonts w:ascii="Liberation Serif" w:hAnsi="Liberation Serif" w:cs="Liberation Serif"/>
            <w:sz w:val="28"/>
            <w:szCs w:val="28"/>
          </w:rPr>
          <w:t>подпункт</w:t>
        </w:r>
        <w:r>
          <w:rPr>
            <w:rFonts w:ascii="Liberation Serif" w:hAnsi="Liberation Serif" w:cs="Liberation Serif"/>
            <w:sz w:val="28"/>
            <w:szCs w:val="28"/>
          </w:rPr>
          <w:t>ом "б" пункта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санкционирования органами Федерального казначейства, не позднее рабочего дня, следующего за днем п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lastRenderedPageBreak/>
        <w:t>лучения указанной информации, направляет участнику казначейского сопр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вождения, получателю бюджетных средств, муниципальному заказчи</w:t>
      </w:r>
      <w:r>
        <w:rPr>
          <w:rFonts w:ascii="Liberation Serif" w:hAnsi="Liberation Serif" w:cs="Liberation Serif"/>
          <w:sz w:val="28"/>
          <w:szCs w:val="28"/>
        </w:rPr>
        <w:t>ку, зака</w:t>
      </w: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 xml:space="preserve">чику-учреждению, юридическому лицу, предоставляющему целевые средства, </w:t>
      </w:r>
      <w:hyperlink r:id="rId19">
        <w:r>
          <w:rPr>
            <w:rFonts w:ascii="Liberation Serif" w:hAnsi="Liberation Serif" w:cs="Liberation Serif"/>
            <w:sz w:val="28"/>
            <w:szCs w:val="28"/>
          </w:rPr>
          <w:t>Ув</w:t>
        </w:r>
        <w:r>
          <w:rPr>
            <w:rFonts w:ascii="Liberation Serif" w:hAnsi="Liberation Serif" w:cs="Liberation Serif"/>
            <w:sz w:val="28"/>
            <w:szCs w:val="28"/>
          </w:rPr>
          <w:t>едомление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запрете (об отказе) осуществления операции на лицевом счете (об отмене запрета (отказа) осуществления операции 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лицевом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счете</w:t>
      </w:r>
      <w:proofErr w:type="gramEnd"/>
      <w:r>
        <w:rPr>
          <w:rFonts w:ascii="Liberation Serif" w:hAnsi="Liberation Serif" w:cs="Liberation Serif"/>
          <w:sz w:val="28"/>
          <w:szCs w:val="28"/>
        </w:rPr>
        <w:t>) по форме согласно приложению N 6 к настоящему порядку и в этот же срок во</w:t>
      </w: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вращает платежное поручение без исполнени</w:t>
      </w:r>
      <w:r>
        <w:rPr>
          <w:rFonts w:ascii="Liberation Serif" w:hAnsi="Liberation Serif" w:cs="Liberation Serif"/>
          <w:sz w:val="28"/>
          <w:szCs w:val="28"/>
        </w:rPr>
        <w:t>я;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2) при получении от территориального органа Федерального казначейства информации о применении мер реагирования, предусмотренных </w:t>
      </w:r>
      <w:hyperlink r:id="rId20">
        <w:r>
          <w:rPr>
            <w:rFonts w:ascii="Liberation Serif" w:hAnsi="Liberation Serif" w:cs="Liberation Serif"/>
            <w:sz w:val="28"/>
            <w:szCs w:val="28"/>
          </w:rPr>
          <w:t>подпунктом "в" пункта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санкционирования органами Федерального казначе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>ства, не позднее рабочего дня, следующего за получением указанной информ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ции, направляет участнику казначейского сопровождения, получат</w:t>
      </w:r>
      <w:r>
        <w:rPr>
          <w:rFonts w:ascii="Liberation Serif" w:hAnsi="Liberation Serif" w:cs="Liberation Serif"/>
          <w:sz w:val="28"/>
          <w:szCs w:val="28"/>
        </w:rPr>
        <w:t>елю бю</w:t>
      </w: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жетных средств, муниципальному заказчику, заказчику-учреждению, юридич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скому лицу, предоставляющему целевые средства, </w:t>
      </w:r>
      <w:hyperlink r:id="rId21">
        <w:r>
          <w:rPr>
            <w:rFonts w:ascii="Liberation Serif" w:hAnsi="Liberation Serif" w:cs="Liberation Serif"/>
            <w:sz w:val="28"/>
            <w:szCs w:val="28"/>
          </w:rPr>
          <w:t>Уведомление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приостано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лении операции на лицевом счете по форме согласно приложению  N 7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наст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ящему порядку.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Получатель бюджетных средств, муниципальный заказчик, заказчик-учреждение, юридическое лицо, предоста</w:t>
      </w:r>
      <w:r>
        <w:rPr>
          <w:rFonts w:ascii="Liberation Serif" w:hAnsi="Liberation Serif" w:cs="Liberation Serif"/>
          <w:sz w:val="28"/>
          <w:szCs w:val="28"/>
        </w:rPr>
        <w:t>вляющее целевые средства, не поз</w:t>
      </w: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нее второго рабочего дня, следующего за днем получения от финансового отд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ла </w:t>
      </w:r>
      <w:hyperlink r:id="rId22">
        <w:r>
          <w:rPr>
            <w:rFonts w:ascii="Liberation Serif" w:hAnsi="Liberation Serif" w:cs="Liberation Serif"/>
            <w:sz w:val="28"/>
            <w:szCs w:val="28"/>
          </w:rPr>
          <w:t>Уведомления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приостановлении операции на лицевом счете, направляет в финансовый отдел Уведомление об обоснованности или о необоснованности приостановления операции на лицевом счете по форме согласно приложению N 8 к настоящему </w:t>
      </w:r>
      <w:r>
        <w:rPr>
          <w:rFonts w:ascii="Liberation Serif" w:hAnsi="Liberation Serif" w:cs="Liberation Serif"/>
          <w:sz w:val="28"/>
          <w:szCs w:val="28"/>
        </w:rPr>
        <w:t>порядку, в котором отражается соответствующее решение п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лучателя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бюджетных средств, муниципального заказчика, заказчика-учреждения, юридического лица, предоставляющего целевые средства.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случае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непоступления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финансовый отдел от получателя бюджетных сред</w:t>
      </w:r>
      <w:r>
        <w:rPr>
          <w:rFonts w:ascii="Liberation Serif" w:hAnsi="Liberation Serif" w:cs="Liberation Serif"/>
          <w:sz w:val="28"/>
          <w:szCs w:val="28"/>
        </w:rPr>
        <w:t>ств, муниципального заказчика, заказчика-учреждения, юридического л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ца, предоставляющего целевые средства, Уведомления об обоснованности или о необоснованности приостановления операции на лицевом счете в течение трех рабочих дней со дня информирования фина</w:t>
      </w:r>
      <w:r>
        <w:rPr>
          <w:rFonts w:ascii="Liberation Serif" w:hAnsi="Liberation Serif" w:cs="Liberation Serif"/>
          <w:sz w:val="28"/>
          <w:szCs w:val="28"/>
        </w:rPr>
        <w:t>нсовым отделом получателя бюджетных средств, муниципального заказчика, заказчика-учреждения, юр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дического лица, предоставляющего целевые средства, финансовый отдел направляет платежное поручение в территориальный орган Федерального ка</w:t>
      </w:r>
      <w:r>
        <w:rPr>
          <w:rFonts w:ascii="Liberation Serif" w:hAnsi="Liberation Serif" w:cs="Liberation Serif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начейства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для его исп</w:t>
      </w:r>
      <w:r>
        <w:rPr>
          <w:rFonts w:ascii="Liberation Serif" w:hAnsi="Liberation Serif" w:cs="Liberation Serif"/>
          <w:sz w:val="28"/>
          <w:szCs w:val="28"/>
        </w:rPr>
        <w:t>олнения;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3) при получении от территориального органа Федерального казначейства информации о применении мер реагирования, предусмотренных </w:t>
      </w:r>
      <w:hyperlink r:id="rId23">
        <w:r>
          <w:rPr>
            <w:rFonts w:ascii="Liberation Serif" w:hAnsi="Liberation Serif" w:cs="Liberation Serif"/>
            <w:sz w:val="28"/>
            <w:szCs w:val="28"/>
          </w:rPr>
          <w:t>подпунктом "г" пункта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санкционирования органами Федерального казначейства, не позднее рабочего дня, следующего за днем получения указанной информ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ции, направляет участнику казначейского сопровождени</w:t>
      </w:r>
      <w:r>
        <w:rPr>
          <w:rFonts w:ascii="Liberation Serif" w:hAnsi="Liberation Serif" w:cs="Liberation Serif"/>
          <w:sz w:val="28"/>
          <w:szCs w:val="28"/>
        </w:rPr>
        <w:t>я, получателю бю</w:t>
      </w:r>
      <w:r>
        <w:rPr>
          <w:rFonts w:ascii="Liberation Serif" w:hAnsi="Liberation Serif" w:cs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жетных средств, муниципальному заказчику, заказчику-учреждению, юридич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скому лицу, предоставляющему целевые средства, </w:t>
      </w:r>
      <w:hyperlink r:id="rId24">
        <w:r>
          <w:rPr>
            <w:rFonts w:ascii="Liberation Serif" w:hAnsi="Liberation Serif" w:cs="Liberation Serif"/>
            <w:sz w:val="28"/>
            <w:szCs w:val="28"/>
          </w:rPr>
          <w:t>Предупреждение (информ</w:t>
        </w:r>
        <w:r>
          <w:rPr>
            <w:rFonts w:ascii="Liberation Serif" w:hAnsi="Liberation Serif" w:cs="Liberation Serif"/>
            <w:sz w:val="28"/>
            <w:szCs w:val="28"/>
          </w:rPr>
          <w:t>и</w:t>
        </w:r>
        <w:r>
          <w:rPr>
            <w:rFonts w:ascii="Liberation Serif" w:hAnsi="Liberation Serif" w:cs="Liberation Serif"/>
            <w:sz w:val="28"/>
            <w:szCs w:val="28"/>
          </w:rPr>
          <w:t>рование)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 наличии признаков финансовых нарушений по форме согласно пр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ложению N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9 к настоящему порядку и направляет платежное поручение в те</w:t>
      </w:r>
      <w:r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риториальный орган Федерального казнач</w:t>
      </w:r>
      <w:r>
        <w:rPr>
          <w:rFonts w:ascii="Liberation Serif" w:hAnsi="Liberation Serif" w:cs="Liberation Serif"/>
          <w:sz w:val="28"/>
          <w:szCs w:val="28"/>
        </w:rPr>
        <w:t>ейства для его исполнения.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 получении от территориального органа Федерального казначейства информации об отмене примененных мер реагирования на лицевом счете участника казначейского сопровождения финансовый отдел не позднее след</w:t>
      </w:r>
      <w:r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ющего рабочего дня напра</w:t>
      </w:r>
      <w:r>
        <w:rPr>
          <w:rFonts w:ascii="Liberation Serif" w:hAnsi="Liberation Serif" w:cs="Liberation Serif"/>
          <w:sz w:val="28"/>
          <w:szCs w:val="28"/>
        </w:rPr>
        <w:t>вляет указанную информацию с сопроводительным письмом участнику казначейского сопровождения и получателю бюджетных средств, муниципальному заказчику, заказчику-учреждению, юридическому лицу, предоставляющему целевые средства.</w:t>
      </w:r>
    </w:p>
    <w:p w:rsidR="000A5EB4" w:rsidRDefault="001E7E90">
      <w:pPr>
        <w:suppressAutoHyphens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При возврате документов, преду</w:t>
      </w:r>
      <w:r>
        <w:rPr>
          <w:rFonts w:ascii="Liberation Serif" w:hAnsi="Liberation Serif" w:cs="Liberation Serif"/>
          <w:sz w:val="28"/>
          <w:szCs w:val="28"/>
        </w:rPr>
        <w:t>смотренных настоящим порядком, фина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совый отдел возвращает участнику казначейского сопровождения экземпляры документов на бумажном носителе, если документы представлялись в фина</w:t>
      </w:r>
      <w:r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совый отдел на бумажном носителе, с приложением уведомления, в котором указыва</w:t>
      </w:r>
      <w:r>
        <w:rPr>
          <w:rFonts w:ascii="Liberation Serif" w:hAnsi="Liberation Serif" w:cs="Liberation Serif"/>
          <w:sz w:val="28"/>
          <w:szCs w:val="28"/>
        </w:rPr>
        <w:t>ется причина возврата, либо направляет участнику казначейского с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провождения уведомление с указанием причины возврата в электронном виде, если документы представлялись в электронном виде.</w:t>
      </w:r>
      <w:proofErr w:type="gramEnd"/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Финансовый отдел при несоответствии платежных поручений и докуме</w:t>
      </w:r>
      <w:r>
        <w:rPr>
          <w:rFonts w:ascii="Liberation Serif" w:hAnsi="Liberation Serif" w:cs="Liberation Serif"/>
          <w:sz w:val="28"/>
          <w:szCs w:val="28"/>
        </w:rPr>
        <w:t>нтов–оснований требованиям настоящего порядка не позднее рабочего дня, следующего за днем представления участником казначейского сопровождения в финансовый отдел платежных поручений и (или) документов–оснований (реестра документов–оснований) (при наличии),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 процедуру возврата платежного поручения (документов–оснований, реестра документов–оснований).</w:t>
      </w:r>
    </w:p>
    <w:p w:rsidR="000A5EB4" w:rsidRDefault="001E7E90">
      <w:pPr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возврате документов, предусмотренных настоящим порядком, финансовый отдел возвращает участнику казначейского сопровождения экземпляры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на бумажном носителе, если документы представлялись в финансовый отдел на бумажном носителе, с приложением уведомления, в котором указывается причина возврата, либо направляет уведомление с указанием причины возврата в электронном виде, если документы пре</w:t>
      </w:r>
      <w:r>
        <w:rPr>
          <w:rFonts w:ascii="Liberation Serif" w:hAnsi="Liberation Serif" w:cs="Liberation Serif"/>
          <w:sz w:val="28"/>
          <w:szCs w:val="28"/>
        </w:rPr>
        <w:t>дставлялись в электронном виде.</w:t>
      </w:r>
    </w:p>
    <w:p w:rsidR="000A5EB4" w:rsidRDefault="000A5EB4">
      <w:pPr>
        <w:pStyle w:val="western"/>
        <w:spacing w:before="280" w:after="0" w:line="240" w:lineRule="auto"/>
        <w:jc w:val="both"/>
      </w:pPr>
    </w:p>
    <w:p w:rsidR="000A5EB4" w:rsidRDefault="000A5EB4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sectPr w:rsidR="000A5EB4">
      <w:headerReference w:type="default" r:id="rId25"/>
      <w:pgSz w:w="11906" w:h="16838"/>
      <w:pgMar w:top="1134" w:right="567" w:bottom="1134" w:left="1701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90" w:rsidRDefault="001E7E90">
      <w:r>
        <w:separator/>
      </w:r>
    </w:p>
  </w:endnote>
  <w:endnote w:type="continuationSeparator" w:id="0">
    <w:p w:rsidR="001E7E90" w:rsidRDefault="001E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90" w:rsidRDefault="001E7E90">
      <w:r>
        <w:separator/>
      </w:r>
    </w:p>
  </w:footnote>
  <w:footnote w:type="continuationSeparator" w:id="0">
    <w:p w:rsidR="001E7E90" w:rsidRDefault="001E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B4" w:rsidRDefault="000A5EB4">
    <w:pPr>
      <w:pStyle w:val="af0"/>
      <w:jc w:val="center"/>
    </w:pPr>
  </w:p>
  <w:p w:rsidR="000A5EB4" w:rsidRDefault="000A5EB4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D66"/>
    <w:multiLevelType w:val="multilevel"/>
    <w:tmpl w:val="05587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193178"/>
    <w:multiLevelType w:val="multilevel"/>
    <w:tmpl w:val="1692322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4"/>
    <w:rsid w:val="000A5EB4"/>
    <w:rsid w:val="001E7E90"/>
    <w:rsid w:val="0093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unhideWhenUsed/>
    <w:rsid w:val="00996F83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BA2EF1"/>
    <w:rPr>
      <w:sz w:val="24"/>
      <w:szCs w:val="24"/>
    </w:rPr>
  </w:style>
  <w:style w:type="character" w:styleId="a7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1">
    <w:name w:val="Просмотренная гиперссылка1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3">
    <w:name w:val="Normal (Web)"/>
    <w:basedOn w:val="a"/>
    <w:uiPriority w:val="99"/>
    <w:semiHidden/>
    <w:unhideWhenUsed/>
    <w:qFormat/>
    <w:rsid w:val="00F268E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BC4173"/>
    <w:pPr>
      <w:suppressAutoHyphens w:val="0"/>
      <w:spacing w:beforeAutospacing="1" w:after="142" w:line="276" w:lineRule="auto"/>
    </w:pPr>
    <w:rPr>
      <w:color w:val="000000"/>
    </w:rPr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unhideWhenUsed/>
    <w:rsid w:val="00996F83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BA2EF1"/>
    <w:rPr>
      <w:sz w:val="24"/>
      <w:szCs w:val="24"/>
    </w:rPr>
  </w:style>
  <w:style w:type="character" w:styleId="a7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1">
    <w:name w:val="Просмотренная гиперссылка1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3">
    <w:name w:val="Normal (Web)"/>
    <w:basedOn w:val="a"/>
    <w:uiPriority w:val="99"/>
    <w:semiHidden/>
    <w:unhideWhenUsed/>
    <w:qFormat/>
    <w:rsid w:val="00F268E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BC4173"/>
    <w:pPr>
      <w:suppressAutoHyphens w:val="0"/>
      <w:spacing w:beforeAutospacing="1" w:after="142" w:line="276" w:lineRule="auto"/>
    </w:pPr>
    <w:rPr>
      <w:color w:val="000000"/>
    </w:rPr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4BAF5E38F716BF7455FB5618AF0386BC660054687108C233BBAF6589FBB56796F89D2A26894CA66367727E1F130BD5495A564944A5F369L" TargetMode="External"/><Relationship Id="rId18" Type="http://schemas.openxmlformats.org/officeDocument/2006/relationships/hyperlink" Target="consultantplus://offline/ref=6F4BAF5E38F716BF7455FB5618AF0386BC640653697208C233BBAF6589FBB56796F89D2D218C45AB3E3D627A564404C94A45494A5AA53B88FC6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BAF5E38F716BF7455E55B0EC35D8CB96E5E5F697505916DEDA932D6ABB332D6B89B7862C848AC37363F2E1A1A5D9A0C0E454946B93A8BD210DA95FA6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4BAF5E38F716BF7455E55B0EC35D8CB96E5E5F697505916DEDA932D6ABB332D6B89B7862C848AC3736352D171A5D9A0C0E454946B93A8BD210DA95FA67L" TargetMode="External"/><Relationship Id="rId17" Type="http://schemas.openxmlformats.org/officeDocument/2006/relationships/hyperlink" Target="consultantplus://offline/ref=6F4BAF5E38F716BF7455FB5618AF0386BC640653697208C233BBAF6589FBB56796F89D2D218C4CA93E3D627A564404C94A45494A5AA53B88FC6E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BAF5E38F716BF7455FB5618AF0386BC640653697208C233BBAF6589FBB56796F89D2D218C45AA363D627A564404C94A45494A5AA53B88FC6EL" TargetMode="External"/><Relationship Id="rId20" Type="http://schemas.openxmlformats.org/officeDocument/2006/relationships/hyperlink" Target="consultantplus://offline/ref=6F4BAF5E38F716BF7455FB5618AF0386BC640653697208C233BBAF6589FBB56796F89D2D218C45AA373D627A564404C94A45494A5AA53B88FC6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4BAF5E38F716BF7455FB5618AF0386BC640653697208C233BBAF6589FBB56796F89D2D218C4CA93E3D627A564404C94A45494A5AA53B88FC6EL" TargetMode="External"/><Relationship Id="rId24" Type="http://schemas.openxmlformats.org/officeDocument/2006/relationships/hyperlink" Target="consultantplus://offline/ref=6F4BAF5E38F716BF7455E55B0EC35D8CB96E5E5F697505916DEDA932D6ABB332D6B89B7862C848AC3737362D101A5D9A0C0E454946B93A8BD210DA95FA6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4BAF5E38F716BF7455FB5618AF0386BC640653697208C233BBAF6589FBB56796F89D2D218C45AB3E3D627A564404C94A45494A5AA53B88FC6EL" TargetMode="External"/><Relationship Id="rId23" Type="http://schemas.openxmlformats.org/officeDocument/2006/relationships/hyperlink" Target="consultantplus://offline/ref=6F4BAF5E38F716BF7455FB5618AF0386BC640653697208C233BBAF6589FBB56796F89D2D218C45AA363D627A564404C94A45494A5AA53B88FC6EL" TargetMode="External"/><Relationship Id="rId10" Type="http://schemas.openxmlformats.org/officeDocument/2006/relationships/hyperlink" Target="consultantplus://offline/ref=E3026E9684E286A9CAEEAC042F515319332E964FE4D5AE0EEADED69F5699B36B854F2204CCC022871A2857DB3DB7CF465987BD7A88F50C47D5D7FE8ErC38J" TargetMode="External"/><Relationship Id="rId19" Type="http://schemas.openxmlformats.org/officeDocument/2006/relationships/hyperlink" Target="consultantplus://offline/ref=6F4BAF5E38F716BF7455E55B0EC35D8CB96E5E5F697505916DEDA932D6ABB332D6B89B7862C848AC37363F2B111A5D9A0C0E454946B93A8BD210DA95FA6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F4BAF5E38F716BF7455FB5618AF0386BC640653697208C233BBAF6589FBB56796F89D2D218C4CA93E3D627A564404C94A45494A5AA53B88FC6EL" TargetMode="External"/><Relationship Id="rId22" Type="http://schemas.openxmlformats.org/officeDocument/2006/relationships/hyperlink" Target="consultantplus://offline/ref=6F4BAF5E38F716BF7455E55B0EC35D8CB96E5E5F697505916DEDA932D6ABB332D6B89B7862C848AC3737362A111A5D9A0C0E454946B93A8BD210DA95FA6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24A5-5E6D-4A4D-86AC-945FCE67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4519</TotalTime>
  <Pages>1</Pages>
  <Words>4470</Words>
  <Characters>25484</Characters>
  <Application>Microsoft Office Word</Application>
  <DocSecurity>0</DocSecurity>
  <Lines>212</Lines>
  <Paragraphs>59</Paragraphs>
  <ScaleCrop>false</ScaleCrop>
  <Company>Home</Company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172</cp:revision>
  <cp:lastPrinted>2022-03-10T17:06:00Z</cp:lastPrinted>
  <dcterms:created xsi:type="dcterms:W3CDTF">2020-02-27T08:48:00Z</dcterms:created>
  <dcterms:modified xsi:type="dcterms:W3CDTF">2022-12-26T08:43:00Z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